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4722DB" w:rsidRPr="004722DB" w:rsidTr="004722DB">
        <w:trPr>
          <w:tblCellSpacing w:w="0" w:type="dxa"/>
        </w:trPr>
        <w:tc>
          <w:tcPr>
            <w:tcW w:w="0" w:type="auto"/>
            <w:vAlign w:val="center"/>
            <w:hideMark/>
          </w:tcPr>
          <w:p w:rsidR="004722DB" w:rsidRPr="004722DB" w:rsidRDefault="004722DB" w:rsidP="004722DB">
            <w:pPr>
              <w:spacing w:after="0" w:line="204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990000"/>
                <w:sz w:val="19"/>
                <w:szCs w:val="19"/>
              </w:rPr>
            </w:pPr>
            <w:r w:rsidRPr="004722DB">
              <w:rPr>
                <w:rFonts w:ascii="Verdana" w:eastAsia="Times New Roman" w:hAnsi="Verdana" w:cs="Times New Roman"/>
                <w:b/>
                <w:bCs/>
                <w:color w:val="990000"/>
                <w:sz w:val="19"/>
                <w:szCs w:val="19"/>
              </w:rPr>
              <w:t>PRICE SENSITIVE INFORMATION</w:t>
            </w:r>
          </w:p>
        </w:tc>
      </w:tr>
      <w:tr w:rsidR="004722DB" w:rsidRPr="004722DB" w:rsidTr="004722DB">
        <w:trPr>
          <w:tblCellSpacing w:w="0" w:type="dxa"/>
        </w:trPr>
        <w:tc>
          <w:tcPr>
            <w:tcW w:w="0" w:type="auto"/>
            <w:vAlign w:val="center"/>
            <w:hideMark/>
          </w:tcPr>
          <w:p w:rsidR="004722DB" w:rsidRPr="004722DB" w:rsidRDefault="004722DB" w:rsidP="004722DB">
            <w:pPr>
              <w:spacing w:after="0" w:line="204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</w:tr>
      <w:tr w:rsidR="004722DB" w:rsidRPr="004722DB" w:rsidTr="004722DB">
        <w:trPr>
          <w:tblCellSpacing w:w="0" w:type="dxa"/>
        </w:trPr>
        <w:tc>
          <w:tcPr>
            <w:tcW w:w="0" w:type="auto"/>
            <w:vAlign w:val="center"/>
            <w:hideMark/>
          </w:tcPr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The Board of Directors (the Board) of United Commercial Bank Ltd. (the Bank) in its Emergent Meeting dated 15.07.2010 ended at 7.00 pm decided to hold 25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th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, 26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th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and 27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th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Annual General Meetings of the Bank for the years 2008, 2009 &amp; 2010(Accounting years 2007, 2008 &amp; 2009) on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19.09.2010 (Sunday)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following the </w:t>
            </w:r>
            <w:proofErr w:type="spellStart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Judgement</w:t>
            </w:r>
            <w:proofErr w:type="spellEnd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and order dated 11.07.2010 by the </w:t>
            </w:r>
            <w:proofErr w:type="spellStart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Hon’ble</w:t>
            </w:r>
            <w:proofErr w:type="spellEnd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Company Bench of the High Court Division of the Supreme Court of Bangladesh on </w:t>
            </w:r>
            <w:proofErr w:type="spellStart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condonation</w:t>
            </w:r>
            <w:proofErr w:type="spellEnd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of delay for holding 25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th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&amp; 26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th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AGMs of the Bank.</w:t>
            </w:r>
          </w:p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The Board also decided to hold an Extra Ordinary General Meeting (EGM) of the Bank to increase the Authorized Capital from Tk.200.00 </w:t>
            </w:r>
            <w:proofErr w:type="spellStart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crore</w:t>
            </w:r>
            <w:proofErr w:type="spellEnd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to Tk.800.00 </w:t>
            </w:r>
            <w:proofErr w:type="spellStart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crore</w:t>
            </w:r>
            <w:proofErr w:type="spellEnd"/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subject to consent of Bangladesh Bank on the same date i.e.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19.09.2010 (Sunday)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The Board further decided to change in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denomination of share value (Face Value) from Tk. 100.00 (Taka one hundred) to TK. 10.00 (taka ten) each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as well as market lot from 5 (five) to 50 (fifty) shares of the Bank subject to approval / consent of regulatory authorities and approval by the shareholders in the ensuing EGM.</w:t>
            </w:r>
          </w:p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The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Record Date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for all the above mentioned EGM and Annual General Meetings shall be on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08.08.2010.</w:t>
            </w:r>
          </w:p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It is pertinent to mention here that the Board in its meeting dated 28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th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June, 2010 recommended 50% stock dividend for the financial year ended on 31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st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December, 2007; 25% stock dividend for the financial year ended on 31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st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December, 2008 and 30% stock dividend for the financial year ended on 31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st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December, 2009 on cumulative basis.</w:t>
            </w:r>
          </w:p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Eligibility for 25% Stock Dividend for the financial year ended on 31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st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December, 2008 will be computed after giving effect of 50% stock dividend for the financial year ended on 31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st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December, 2007 and eligibility for 30% stock dividend for the financial year ended on 31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st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December, 2009 will be computed after giving effect of 25% Stock Dividend for the financial year ended on 31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</w:rPr>
              <w:t>st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December, 2008.</w:t>
            </w:r>
          </w:p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All the above mentioned recommended dividends are subject to approval of increasing the Authorized Capital in the Extraordinary General Meeting as well as consent of Bangladesh Bank.</w:t>
            </w:r>
          </w:p>
          <w:p w:rsidR="004722DB" w:rsidRPr="004722DB" w:rsidRDefault="004722DB" w:rsidP="004722DB">
            <w:pPr>
              <w:spacing w:before="100" w:beforeAutospacing="1" w:after="100" w:afterAutospacing="1" w:line="245" w:lineRule="atLeast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The Shareholders whose names will appear in the Register of Members of the Bank or in the depository (CDBL) on the Record Date i.e.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08.08.2010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</w:rPr>
              <w:t> </w:t>
            </w:r>
            <w:r w:rsidRPr="004722DB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will be eligible to attend the meetings and qualify for Stock Dividend (Bonus Shares) as recommended above.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45"/>
            </w:tblGrid>
            <w:tr w:rsidR="004722DB" w:rsidRPr="004722DB" w:rsidTr="004722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22DB" w:rsidRPr="004722DB" w:rsidRDefault="004722DB" w:rsidP="004722DB">
                  <w:pPr>
                    <w:spacing w:after="0" w:line="204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proofErr w:type="spellStart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>Sd</w:t>
                  </w:r>
                  <w:proofErr w:type="spellEnd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>/-</w:t>
                  </w:r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br/>
                    <w:t>(</w:t>
                  </w:r>
                  <w:proofErr w:type="spellStart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>Mirza</w:t>
                  </w:r>
                  <w:proofErr w:type="spellEnd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 xml:space="preserve"> Mahmud </w:t>
                  </w:r>
                  <w:proofErr w:type="spellStart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>Rafiqur</w:t>
                  </w:r>
                  <w:proofErr w:type="spellEnd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>Rahman</w:t>
                  </w:r>
                  <w:proofErr w:type="spellEnd"/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t>)</w:t>
                  </w:r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</w:rPr>
                    <w:t> </w:t>
                  </w:r>
                  <w:r w:rsidRPr="004722D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</w:rPr>
                    <w:br/>
                    <w:t>Company Secretary</w:t>
                  </w:r>
                </w:p>
              </w:tc>
            </w:tr>
          </w:tbl>
          <w:p w:rsidR="004722DB" w:rsidRPr="004722DB" w:rsidRDefault="004722DB" w:rsidP="004722DB">
            <w:pPr>
              <w:spacing w:after="0" w:line="204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</w:tbl>
    <w:p w:rsidR="004647A3" w:rsidRDefault="004647A3"/>
    <w:sectPr w:rsidR="004647A3" w:rsidSect="0046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722DB"/>
    <w:rsid w:val="004647A3"/>
    <w:rsid w:val="0047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2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intern</cp:lastModifiedBy>
  <cp:revision>3</cp:revision>
  <dcterms:created xsi:type="dcterms:W3CDTF">2013-12-04T09:56:00Z</dcterms:created>
  <dcterms:modified xsi:type="dcterms:W3CDTF">2013-12-04T09:57:00Z</dcterms:modified>
</cp:coreProperties>
</file>